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DDE" w:rsidRPr="00440DDE" w:rsidRDefault="00440DDE" w:rsidP="00440DDE">
      <w:pPr>
        <w:spacing w:after="0" w:line="240" w:lineRule="auto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sz w:val="20"/>
          <w:szCs w:val="20"/>
          <w:lang w:eastAsia="es-EC"/>
        </w:rPr>
        <w:t xml:space="preserve">En el Suplemento del Registro Oficial No.462 de abril 5 de 2019, se publicó la </w:t>
      </w:r>
      <w:bookmarkStart w:id="0" w:name="_GoBack"/>
      <w:r w:rsidRPr="00440DDE">
        <w:rPr>
          <w:rFonts w:ascii="&amp;quot" w:eastAsia="Times New Roman" w:hAnsi="&amp;quot" w:cs="Times New Roman"/>
          <w:color w:val="000000"/>
          <w:sz w:val="20"/>
          <w:szCs w:val="20"/>
          <w:lang w:eastAsia="es-EC"/>
        </w:rPr>
        <w:t>resolución No.</w:t>
      </w:r>
      <w:r w:rsidRPr="00440DDE">
        <w:rPr>
          <w:rFonts w:ascii="&amp;quot" w:eastAsia="Times New Roman" w:hAnsi="&amp;quot" w:cs="Times New Roman"/>
          <w:b/>
          <w:bCs/>
          <w:color w:val="000000"/>
          <w:sz w:val="20"/>
          <w:szCs w:val="20"/>
          <w:lang w:eastAsia="es-EC"/>
        </w:rPr>
        <w:t xml:space="preserve"> CPT-RES-2019-001</w:t>
      </w:r>
      <w:bookmarkEnd w:id="0"/>
      <w:r w:rsidRPr="00440DDE">
        <w:rPr>
          <w:rFonts w:ascii="&amp;quot" w:eastAsia="Times New Roman" w:hAnsi="&amp;quot" w:cs="Times New Roman"/>
          <w:color w:val="000000"/>
          <w:sz w:val="20"/>
          <w:szCs w:val="20"/>
          <w:lang w:eastAsia="es-EC"/>
        </w:rPr>
        <w:t>, de fecha marzo 21 de 2019, emitida por el Comité de Política Tributaria (CPT), en la cual se establecen las condiciones y límites para que opere la devolución a los exportadores habituales de bienes del Impuesto a la Salida de Divisas (ISD) pagado en la importación de materias primas, insumos y bienes de capital, así como el listado de importaciones de materias primas, insumos y bienes de capital aplicable a esta devolución, en los siguientes términos:</w:t>
      </w:r>
    </w:p>
    <w:p w:rsidR="00440DDE" w:rsidRPr="00440DDE" w:rsidRDefault="00440DDE" w:rsidP="00440DDE">
      <w:pPr>
        <w:spacing w:after="0" w:line="240" w:lineRule="auto"/>
        <w:ind w:left="720"/>
        <w:jc w:val="both"/>
        <w:rPr>
          <w:rFonts w:ascii="&amp;quot" w:eastAsia="Times New Roman" w:hAnsi="&amp;quot" w:cs="Times New Roman"/>
          <w:color w:val="222222"/>
          <w:sz w:val="24"/>
          <w:szCs w:val="24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lang w:eastAsia="es-EC"/>
        </w:rPr>
        <w:t> </w:t>
      </w:r>
    </w:p>
    <w:p w:rsidR="00440DDE" w:rsidRPr="00440DDE" w:rsidRDefault="00440DDE" w:rsidP="00440DDE">
      <w:pPr>
        <w:numPr>
          <w:ilvl w:val="0"/>
          <w:numId w:val="1"/>
        </w:numPr>
        <w:spacing w:after="0" w:line="240" w:lineRule="auto"/>
        <w:jc w:val="both"/>
        <w:rPr>
          <w:rFonts w:ascii="&amp;quot" w:eastAsia="Times New Roman" w:hAnsi="&amp;quot" w:cs="Times New Roman"/>
          <w:color w:val="222222"/>
          <w:sz w:val="24"/>
          <w:szCs w:val="24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lang w:eastAsia="es-EC"/>
        </w:rPr>
        <w:t>Tendrán derecho a la devolución del ISD pagado en la importación de materias primas, insumos y bienes de capital, quienes cumplan las siguientes condiciones:</w:t>
      </w:r>
    </w:p>
    <w:p w:rsidR="00440DDE" w:rsidRPr="00440DDE" w:rsidRDefault="00440DDE" w:rsidP="00440DDE">
      <w:pPr>
        <w:spacing w:after="0" w:line="240" w:lineRule="auto"/>
        <w:ind w:left="720"/>
        <w:jc w:val="both"/>
        <w:rPr>
          <w:rFonts w:ascii="&amp;quot" w:eastAsia="Times New Roman" w:hAnsi="&amp;quot" w:cs="Times New Roman"/>
          <w:color w:val="222222"/>
          <w:sz w:val="24"/>
          <w:szCs w:val="24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lang w:eastAsia="es-EC"/>
        </w:rPr>
        <w:t> </w:t>
      </w:r>
    </w:p>
    <w:p w:rsidR="00440DDE" w:rsidRPr="00440DDE" w:rsidRDefault="00440DDE" w:rsidP="00440DDE">
      <w:pPr>
        <w:numPr>
          <w:ilvl w:val="0"/>
          <w:numId w:val="2"/>
        </w:numPr>
        <w:spacing w:after="0" w:line="240" w:lineRule="auto"/>
        <w:ind w:left="1080"/>
        <w:jc w:val="both"/>
        <w:rPr>
          <w:rFonts w:ascii="&amp;quot" w:eastAsia="Times New Roman" w:hAnsi="&amp;quot" w:cs="Times New Roman"/>
          <w:color w:val="222222"/>
          <w:sz w:val="24"/>
          <w:szCs w:val="24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lang w:eastAsia="es-EC"/>
        </w:rPr>
        <w:t xml:space="preserve">Ser exportador habitual de bienes; </w:t>
      </w:r>
    </w:p>
    <w:p w:rsidR="00440DDE" w:rsidRPr="00440DDE" w:rsidRDefault="00440DDE" w:rsidP="00440DDE">
      <w:pPr>
        <w:spacing w:after="0" w:line="240" w:lineRule="auto"/>
        <w:ind w:left="1080"/>
        <w:jc w:val="both"/>
        <w:rPr>
          <w:rFonts w:ascii="&amp;quot" w:eastAsia="Times New Roman" w:hAnsi="&amp;quot" w:cs="Times New Roman"/>
          <w:color w:val="222222"/>
          <w:sz w:val="24"/>
          <w:szCs w:val="24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lang w:eastAsia="es-EC"/>
        </w:rPr>
        <w:t> </w:t>
      </w:r>
    </w:p>
    <w:p w:rsidR="00440DDE" w:rsidRPr="00440DDE" w:rsidRDefault="00440DDE" w:rsidP="00440DDE">
      <w:pPr>
        <w:numPr>
          <w:ilvl w:val="0"/>
          <w:numId w:val="3"/>
        </w:numPr>
        <w:spacing w:after="0" w:line="240" w:lineRule="auto"/>
        <w:ind w:left="1080"/>
        <w:jc w:val="both"/>
        <w:rPr>
          <w:rFonts w:ascii="&amp;quot" w:eastAsia="Times New Roman" w:hAnsi="&amp;quot" w:cs="Times New Roman"/>
          <w:color w:val="222222"/>
          <w:sz w:val="24"/>
          <w:szCs w:val="24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lang w:eastAsia="es-EC"/>
        </w:rPr>
        <w:t xml:space="preserve">Importar las </w:t>
      </w:r>
      <w:proofErr w:type="spellStart"/>
      <w:r w:rsidRPr="00440DDE">
        <w:rPr>
          <w:rFonts w:ascii="&amp;quot" w:eastAsia="Times New Roman" w:hAnsi="&amp;quot" w:cs="Times New Roman"/>
          <w:color w:val="000000"/>
          <w:lang w:eastAsia="es-EC"/>
        </w:rPr>
        <w:t>subpartidas</w:t>
      </w:r>
      <w:proofErr w:type="spellEnd"/>
      <w:r w:rsidRPr="00440DDE">
        <w:rPr>
          <w:rFonts w:ascii="&amp;quot" w:eastAsia="Times New Roman" w:hAnsi="&amp;quot" w:cs="Times New Roman"/>
          <w:color w:val="000000"/>
          <w:lang w:eastAsia="es-EC"/>
        </w:rPr>
        <w:t xml:space="preserve"> que consten en el listado de la Resolución No. CPT-03-  2012 y sus respectivas reformas, aplicable al período en el cual se realiza la importación; y,</w:t>
      </w:r>
    </w:p>
    <w:p w:rsidR="00440DDE" w:rsidRPr="00440DDE" w:rsidRDefault="00440DDE" w:rsidP="00440DDE">
      <w:pPr>
        <w:spacing w:after="0" w:line="240" w:lineRule="auto"/>
        <w:ind w:left="720"/>
        <w:rPr>
          <w:rFonts w:ascii="&amp;quot" w:eastAsia="Times New Roman" w:hAnsi="&amp;quot" w:cs="Times New Roman"/>
          <w:color w:val="222222"/>
          <w:sz w:val="24"/>
          <w:szCs w:val="24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sz w:val="24"/>
          <w:szCs w:val="24"/>
          <w:lang w:eastAsia="es-EC"/>
        </w:rPr>
        <w:t> </w:t>
      </w:r>
    </w:p>
    <w:p w:rsidR="00440DDE" w:rsidRPr="00440DDE" w:rsidRDefault="00440DDE" w:rsidP="00440DDE">
      <w:pPr>
        <w:numPr>
          <w:ilvl w:val="0"/>
          <w:numId w:val="4"/>
        </w:numPr>
        <w:spacing w:after="0" w:line="240" w:lineRule="auto"/>
        <w:ind w:left="1080"/>
        <w:jc w:val="both"/>
        <w:rPr>
          <w:rFonts w:ascii="&amp;quot" w:eastAsia="Times New Roman" w:hAnsi="&amp;quot" w:cs="Times New Roman"/>
          <w:color w:val="222222"/>
          <w:sz w:val="24"/>
          <w:szCs w:val="24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sz w:val="24"/>
          <w:szCs w:val="24"/>
          <w:lang w:eastAsia="es-EC"/>
        </w:rPr>
        <w:t xml:space="preserve">Presentar la declaración tributaria en los términos que el SRI determine para el efecto. </w:t>
      </w:r>
    </w:p>
    <w:p w:rsidR="00440DDE" w:rsidRPr="00440DDE" w:rsidRDefault="00440DDE" w:rsidP="00440DDE">
      <w:pPr>
        <w:spacing w:after="0" w:line="240" w:lineRule="auto"/>
        <w:ind w:left="720"/>
        <w:jc w:val="both"/>
        <w:rPr>
          <w:rFonts w:ascii="&amp;quot" w:eastAsia="Times New Roman" w:hAnsi="&amp;quot" w:cs="Times New Roman"/>
          <w:color w:val="222222"/>
          <w:sz w:val="24"/>
          <w:szCs w:val="24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lang w:eastAsia="es-EC"/>
        </w:rPr>
        <w:t> </w:t>
      </w:r>
    </w:p>
    <w:p w:rsidR="00440DDE" w:rsidRPr="00440DDE" w:rsidRDefault="00440DDE" w:rsidP="00440DDE">
      <w:pPr>
        <w:spacing w:after="0" w:line="240" w:lineRule="auto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sz w:val="20"/>
          <w:szCs w:val="20"/>
          <w:lang w:eastAsia="es-EC"/>
        </w:rPr>
        <w:t xml:space="preserve">El monto máximo de devolución se sujetará al siguiente factor de proporcionalidad, a fin de determinar el ISD pagado en la importación de materias primas, insumos y bienes de capital que efectivamente sean incorporados en procesos productivos de bienes que se exporten y que consten en el correspondiente listado: </w:t>
      </w:r>
    </w:p>
    <w:p w:rsidR="00440DDE" w:rsidRPr="00440DDE" w:rsidRDefault="00440DDE" w:rsidP="00440DDE">
      <w:pPr>
        <w:spacing w:after="0" w:line="240" w:lineRule="auto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sz w:val="20"/>
          <w:szCs w:val="20"/>
          <w:lang w:eastAsia="es-EC"/>
        </w:rPr>
        <w:t> </w:t>
      </w:r>
    </w:p>
    <w:p w:rsidR="00440DDE" w:rsidRPr="00440DDE" w:rsidRDefault="00440DDE" w:rsidP="00440DDE">
      <w:pPr>
        <w:spacing w:after="0" w:line="240" w:lineRule="auto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sz w:val="20"/>
          <w:szCs w:val="20"/>
          <w:lang w:eastAsia="es-EC"/>
        </w:rPr>
        <w:t xml:space="preserve">               Total de exportaciones de bienes (valor neto) en USD                </w:t>
      </w:r>
    </w:p>
    <w:p w:rsidR="00440DDE" w:rsidRPr="00440DDE" w:rsidRDefault="00440DDE" w:rsidP="00440DDE">
      <w:pPr>
        <w:spacing w:after="0" w:line="240" w:lineRule="auto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440DDE">
        <w:rPr>
          <w:rFonts w:ascii="&amp;quot" w:eastAsia="Times New Roman" w:hAnsi="&amp;quot" w:cs="Times New Roman"/>
          <w:b/>
          <w:bCs/>
          <w:color w:val="000000"/>
          <w:sz w:val="20"/>
          <w:szCs w:val="20"/>
          <w:lang w:eastAsia="es-EC"/>
        </w:rPr>
        <w:t>           </w:t>
      </w:r>
      <w:r w:rsidRPr="00440DDE">
        <w:rPr>
          <w:rFonts w:ascii="&amp;quot" w:eastAsia="Times New Roman" w:hAnsi="&amp;quot" w:cs="Times New Roman"/>
          <w:color w:val="000000"/>
          <w:sz w:val="20"/>
          <w:szCs w:val="20"/>
          <w:lang w:eastAsia="es-EC"/>
        </w:rPr>
        <w:t xml:space="preserve">              Total de ventas (valor neto) en USD </w:t>
      </w:r>
    </w:p>
    <w:p w:rsidR="00440DDE" w:rsidRPr="00440DDE" w:rsidRDefault="00440DDE" w:rsidP="00440DDE">
      <w:pPr>
        <w:spacing w:after="0" w:line="240" w:lineRule="auto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sz w:val="20"/>
          <w:szCs w:val="20"/>
          <w:lang w:eastAsia="es-EC"/>
        </w:rPr>
        <w:t> </w:t>
      </w:r>
    </w:p>
    <w:p w:rsidR="00440DDE" w:rsidRPr="00440DDE" w:rsidRDefault="00440DDE" w:rsidP="00440DDE">
      <w:pPr>
        <w:spacing w:after="0" w:line="240" w:lineRule="auto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440DDE">
        <w:rPr>
          <w:rFonts w:ascii="&amp;quot" w:eastAsia="Times New Roman" w:hAnsi="&amp;quot" w:cs="Times New Roman"/>
          <w:b/>
          <w:bCs/>
          <w:color w:val="000000"/>
          <w:sz w:val="20"/>
          <w:szCs w:val="20"/>
          <w:lang w:eastAsia="es-EC"/>
        </w:rPr>
        <w:t> </w:t>
      </w:r>
    </w:p>
    <w:p w:rsidR="00440DDE" w:rsidRPr="00440DDE" w:rsidRDefault="00440DDE" w:rsidP="00440DDE">
      <w:pPr>
        <w:spacing w:after="0" w:line="240" w:lineRule="auto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440DDE">
        <w:rPr>
          <w:rFonts w:ascii="&amp;quot" w:eastAsia="Times New Roman" w:hAnsi="&amp;quot" w:cs="Times New Roman"/>
          <w:b/>
          <w:bCs/>
          <w:color w:val="000000"/>
          <w:sz w:val="20"/>
          <w:szCs w:val="20"/>
          <w:lang w:eastAsia="es-EC"/>
        </w:rPr>
        <w:t>Exportaciones de bienes (valor neto) =</w:t>
      </w:r>
    </w:p>
    <w:p w:rsidR="00440DDE" w:rsidRPr="00440DDE" w:rsidRDefault="00440DDE" w:rsidP="00440DDE">
      <w:pPr>
        <w:spacing w:after="0" w:line="240" w:lineRule="auto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sz w:val="20"/>
          <w:szCs w:val="20"/>
          <w:lang w:eastAsia="es-EC"/>
        </w:rPr>
        <w:t xml:space="preserve">Exportaciones de bienes (valor bruto) – Notas de crédito </w:t>
      </w:r>
    </w:p>
    <w:p w:rsidR="00440DDE" w:rsidRPr="00440DDE" w:rsidRDefault="00440DDE" w:rsidP="00440DDE">
      <w:pPr>
        <w:spacing w:after="0" w:line="240" w:lineRule="auto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sz w:val="20"/>
          <w:szCs w:val="20"/>
          <w:lang w:eastAsia="es-EC"/>
        </w:rPr>
        <w:t> </w:t>
      </w:r>
    </w:p>
    <w:p w:rsidR="00440DDE" w:rsidRPr="00440DDE" w:rsidRDefault="00440DDE" w:rsidP="00440DDE">
      <w:pPr>
        <w:spacing w:after="0" w:line="240" w:lineRule="auto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440DDE">
        <w:rPr>
          <w:rFonts w:ascii="&amp;quot" w:eastAsia="Times New Roman" w:hAnsi="&amp;quot" w:cs="Times New Roman"/>
          <w:b/>
          <w:bCs/>
          <w:color w:val="000000"/>
          <w:sz w:val="20"/>
          <w:szCs w:val="20"/>
          <w:lang w:eastAsia="es-EC"/>
        </w:rPr>
        <w:t>Total ventas y otras operaciones (valor neto) =</w:t>
      </w:r>
    </w:p>
    <w:p w:rsidR="00440DDE" w:rsidRPr="00440DDE" w:rsidRDefault="00440DDE" w:rsidP="00440DDE">
      <w:pPr>
        <w:spacing w:after="0" w:line="240" w:lineRule="auto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sz w:val="20"/>
          <w:szCs w:val="20"/>
          <w:lang w:eastAsia="es-EC"/>
        </w:rPr>
        <w:t>Total ventas y otras operaciones (valor bruto) – Notas de crédito</w:t>
      </w:r>
    </w:p>
    <w:p w:rsidR="00440DDE" w:rsidRPr="00440DDE" w:rsidRDefault="00440DDE" w:rsidP="00440DDE">
      <w:pPr>
        <w:spacing w:after="0" w:line="240" w:lineRule="auto"/>
        <w:ind w:left="790"/>
        <w:jc w:val="both"/>
        <w:rPr>
          <w:rFonts w:ascii="&amp;quot" w:eastAsia="Times New Roman" w:hAnsi="&amp;quot" w:cs="Times New Roman"/>
          <w:color w:val="222222"/>
          <w:sz w:val="24"/>
          <w:szCs w:val="24"/>
          <w:lang w:eastAsia="es-EC"/>
        </w:rPr>
      </w:pPr>
      <w:r w:rsidRPr="00440DDE">
        <w:rPr>
          <w:rFonts w:ascii="&amp;quot" w:eastAsia="Times New Roman" w:hAnsi="&amp;quot" w:cs="Times New Roman"/>
          <w:b/>
          <w:bCs/>
          <w:color w:val="000000"/>
          <w:lang w:eastAsia="es-EC"/>
        </w:rPr>
        <w:t> </w:t>
      </w:r>
    </w:p>
    <w:p w:rsidR="00440DDE" w:rsidRPr="00440DDE" w:rsidRDefault="00440DDE" w:rsidP="00440DDE">
      <w:pPr>
        <w:spacing w:after="0" w:line="240" w:lineRule="auto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sz w:val="20"/>
          <w:szCs w:val="20"/>
          <w:lang w:eastAsia="es-EC"/>
        </w:rPr>
        <w:t> </w:t>
      </w:r>
    </w:p>
    <w:p w:rsidR="00440DDE" w:rsidRPr="00440DDE" w:rsidRDefault="00440DDE" w:rsidP="00440DDE">
      <w:pPr>
        <w:spacing w:after="0" w:line="240" w:lineRule="auto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sz w:val="20"/>
          <w:szCs w:val="20"/>
          <w:lang w:eastAsia="es-EC"/>
        </w:rPr>
        <w:t xml:space="preserve">El coeficiente que se obtenga de la aplicación de este factor se multiplicará por el ISD pagado, de tal forma que el valor de ISD sujeto a devolución no podrá superar el monto que resulte de aplicar la siguiente fórmula: </w:t>
      </w:r>
    </w:p>
    <w:p w:rsidR="00440DDE" w:rsidRPr="00440DDE" w:rsidRDefault="00440DDE" w:rsidP="00440DDE">
      <w:pPr>
        <w:spacing w:after="0" w:line="240" w:lineRule="auto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sz w:val="20"/>
          <w:szCs w:val="20"/>
          <w:lang w:eastAsia="es-EC"/>
        </w:rPr>
        <w:t> </w:t>
      </w:r>
    </w:p>
    <w:p w:rsidR="00440DDE" w:rsidRPr="00440DDE" w:rsidRDefault="00440DDE" w:rsidP="00440DDE">
      <w:pPr>
        <w:spacing w:after="0" w:line="240" w:lineRule="auto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440DDE">
        <w:rPr>
          <w:rFonts w:ascii="&amp;quot" w:eastAsia="Times New Roman" w:hAnsi="&amp;quot" w:cs="Times New Roman"/>
          <w:b/>
          <w:bCs/>
          <w:color w:val="000000"/>
          <w:sz w:val="20"/>
          <w:szCs w:val="20"/>
          <w:lang w:eastAsia="es-EC"/>
        </w:rPr>
        <w:t xml:space="preserve">ISD </w:t>
      </w:r>
      <w:proofErr w:type="spellStart"/>
      <w:r w:rsidRPr="00440DDE">
        <w:rPr>
          <w:rFonts w:ascii="&amp;quot" w:eastAsia="Times New Roman" w:hAnsi="&amp;quot" w:cs="Times New Roman"/>
          <w:b/>
          <w:bCs/>
          <w:color w:val="000000"/>
          <w:sz w:val="20"/>
          <w:szCs w:val="20"/>
          <w:lang w:eastAsia="es-EC"/>
        </w:rPr>
        <w:t>max</w:t>
      </w:r>
      <w:proofErr w:type="spellEnd"/>
      <w:r w:rsidRPr="00440DDE">
        <w:rPr>
          <w:rFonts w:ascii="&amp;quot" w:eastAsia="Times New Roman" w:hAnsi="&amp;quot" w:cs="Times New Roman"/>
          <w:color w:val="000000"/>
          <w:sz w:val="20"/>
          <w:szCs w:val="20"/>
          <w:lang w:eastAsia="es-EC"/>
        </w:rPr>
        <w:t xml:space="preserve"> = </w:t>
      </w:r>
      <w:proofErr w:type="spellStart"/>
      <w:r w:rsidRPr="00440DDE">
        <w:rPr>
          <w:rFonts w:ascii="&amp;quot" w:eastAsia="Times New Roman" w:hAnsi="&amp;quot" w:cs="Times New Roman"/>
          <w:color w:val="000000"/>
          <w:sz w:val="20"/>
          <w:szCs w:val="20"/>
          <w:lang w:eastAsia="es-EC"/>
        </w:rPr>
        <w:t>fx</w:t>
      </w:r>
      <w:proofErr w:type="spellEnd"/>
      <w:r w:rsidRPr="00440DDE">
        <w:rPr>
          <w:rFonts w:ascii="&amp;quot" w:eastAsia="Times New Roman" w:hAnsi="&amp;quot" w:cs="Times New Roman"/>
          <w:color w:val="000000"/>
          <w:sz w:val="20"/>
          <w:szCs w:val="20"/>
          <w:lang w:eastAsia="es-EC"/>
        </w:rPr>
        <w:t xml:space="preserve"> x ISD pagado </w:t>
      </w:r>
    </w:p>
    <w:p w:rsidR="00440DDE" w:rsidRPr="00440DDE" w:rsidRDefault="00440DDE" w:rsidP="00440DDE">
      <w:pPr>
        <w:spacing w:after="0" w:line="240" w:lineRule="auto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sz w:val="20"/>
          <w:szCs w:val="20"/>
          <w:lang w:eastAsia="es-EC"/>
        </w:rPr>
        <w:t> </w:t>
      </w:r>
    </w:p>
    <w:p w:rsidR="00440DDE" w:rsidRPr="00440DDE" w:rsidRDefault="00440DDE" w:rsidP="00440DDE">
      <w:pPr>
        <w:spacing w:after="0" w:line="240" w:lineRule="auto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sz w:val="20"/>
          <w:szCs w:val="20"/>
          <w:lang w:eastAsia="es-EC"/>
        </w:rPr>
        <w:t xml:space="preserve">El ISD pagado corresponde al total del ISD pagado en las importaciones de bienes que consten en el correspondiente listado. </w:t>
      </w:r>
    </w:p>
    <w:p w:rsidR="00440DDE" w:rsidRPr="00440DDE" w:rsidRDefault="00440DDE" w:rsidP="00440DDE">
      <w:pPr>
        <w:spacing w:after="0" w:line="240" w:lineRule="auto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sz w:val="20"/>
          <w:szCs w:val="20"/>
          <w:lang w:eastAsia="es-EC"/>
        </w:rPr>
        <w:t> </w:t>
      </w:r>
    </w:p>
    <w:p w:rsidR="00440DDE" w:rsidRPr="00440DDE" w:rsidRDefault="00440DDE" w:rsidP="00440DDE">
      <w:pPr>
        <w:spacing w:after="0" w:line="240" w:lineRule="auto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sz w:val="20"/>
          <w:szCs w:val="20"/>
          <w:lang w:eastAsia="es-EC"/>
        </w:rPr>
        <w:t xml:space="preserve">En caso que el exportador habitual de bienes, pueda demostrar contablemente que las materias primas importadas, que consten en el listado correspondiente, han sido </w:t>
      </w:r>
      <w:proofErr w:type="gramStart"/>
      <w:r w:rsidRPr="00440DDE">
        <w:rPr>
          <w:rFonts w:ascii="&amp;quot" w:eastAsia="Times New Roman" w:hAnsi="&amp;quot" w:cs="Times New Roman"/>
          <w:color w:val="000000"/>
          <w:sz w:val="20"/>
          <w:szCs w:val="20"/>
          <w:lang w:eastAsia="es-EC"/>
        </w:rPr>
        <w:t>incorporados</w:t>
      </w:r>
      <w:proofErr w:type="gramEnd"/>
      <w:r w:rsidRPr="00440DDE">
        <w:rPr>
          <w:rFonts w:ascii="&amp;quot" w:eastAsia="Times New Roman" w:hAnsi="&amp;quot" w:cs="Times New Roman"/>
          <w:color w:val="000000"/>
          <w:sz w:val="20"/>
          <w:szCs w:val="20"/>
          <w:lang w:eastAsia="es-EC"/>
        </w:rPr>
        <w:t xml:space="preserve"> en procesos productivos de bienes que se exporten, el factor de proporcionalidad será del 100%.</w:t>
      </w:r>
    </w:p>
    <w:p w:rsidR="00440DDE" w:rsidRPr="00440DDE" w:rsidRDefault="00440DDE" w:rsidP="00440DDE">
      <w:pPr>
        <w:spacing w:after="0" w:line="240" w:lineRule="auto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sz w:val="20"/>
          <w:szCs w:val="20"/>
          <w:lang w:eastAsia="es-EC"/>
        </w:rPr>
        <w:t> </w:t>
      </w:r>
    </w:p>
    <w:p w:rsidR="00440DDE" w:rsidRPr="00440DDE" w:rsidRDefault="00440DDE" w:rsidP="00440DDE">
      <w:pPr>
        <w:numPr>
          <w:ilvl w:val="0"/>
          <w:numId w:val="5"/>
        </w:numPr>
        <w:spacing w:after="0" w:line="240" w:lineRule="auto"/>
        <w:jc w:val="both"/>
        <w:rPr>
          <w:rFonts w:ascii="&amp;quot" w:eastAsia="Times New Roman" w:hAnsi="&amp;quot" w:cs="Times New Roman"/>
          <w:color w:val="222222"/>
          <w:sz w:val="24"/>
          <w:szCs w:val="24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lang w:eastAsia="es-EC"/>
        </w:rPr>
        <w:t>La actividad petrolera, así como las actividades relacionadas con recursos naturales no renovables, no se encuentran comprendidas en el beneficio.</w:t>
      </w:r>
    </w:p>
    <w:p w:rsidR="00440DDE" w:rsidRPr="00440DDE" w:rsidRDefault="00440DDE" w:rsidP="00440DDE">
      <w:pPr>
        <w:spacing w:after="0" w:line="240" w:lineRule="auto"/>
        <w:ind w:left="720"/>
        <w:jc w:val="both"/>
        <w:rPr>
          <w:rFonts w:ascii="&amp;quot" w:eastAsia="Times New Roman" w:hAnsi="&amp;quot" w:cs="Times New Roman"/>
          <w:color w:val="222222"/>
          <w:sz w:val="24"/>
          <w:szCs w:val="24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lang w:eastAsia="es-EC"/>
        </w:rPr>
        <w:t> </w:t>
      </w:r>
    </w:p>
    <w:p w:rsidR="00440DDE" w:rsidRPr="00440DDE" w:rsidRDefault="00440DDE" w:rsidP="00440DDE">
      <w:pPr>
        <w:numPr>
          <w:ilvl w:val="0"/>
          <w:numId w:val="6"/>
        </w:numPr>
        <w:spacing w:after="0" w:line="240" w:lineRule="auto"/>
        <w:jc w:val="both"/>
        <w:rPr>
          <w:rFonts w:ascii="&amp;quot" w:eastAsia="Times New Roman" w:hAnsi="&amp;quot" w:cs="Times New Roman"/>
          <w:color w:val="222222"/>
          <w:sz w:val="24"/>
          <w:szCs w:val="24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lang w:eastAsia="es-EC"/>
        </w:rPr>
        <w:t xml:space="preserve">Este beneficio aplicará respecto de las importaciones liquidadas a partir de la vigencia de la Ley Orgánica para la Reactivación de la Economía, Fortalecimiento de la Dolarización y Modernización de la Gestión Financiera, esto es diciembre 12 de 2017. </w:t>
      </w:r>
    </w:p>
    <w:p w:rsidR="00440DDE" w:rsidRPr="00440DDE" w:rsidRDefault="00440DDE" w:rsidP="00440DDE">
      <w:pPr>
        <w:spacing w:after="0" w:line="240" w:lineRule="auto"/>
        <w:ind w:left="720"/>
        <w:rPr>
          <w:rFonts w:ascii="&amp;quot" w:eastAsia="Times New Roman" w:hAnsi="&amp;quot" w:cs="Times New Roman"/>
          <w:color w:val="222222"/>
          <w:sz w:val="24"/>
          <w:szCs w:val="24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lang w:eastAsia="es-EC"/>
        </w:rPr>
        <w:t> </w:t>
      </w:r>
    </w:p>
    <w:p w:rsidR="00440DDE" w:rsidRPr="00440DDE" w:rsidRDefault="00440DDE" w:rsidP="00440DDE">
      <w:pPr>
        <w:numPr>
          <w:ilvl w:val="0"/>
          <w:numId w:val="7"/>
        </w:numPr>
        <w:spacing w:after="0" w:line="240" w:lineRule="auto"/>
        <w:jc w:val="both"/>
        <w:rPr>
          <w:rFonts w:ascii="&amp;quot" w:eastAsia="Times New Roman" w:hAnsi="&amp;quot" w:cs="Times New Roman"/>
          <w:color w:val="222222"/>
          <w:sz w:val="24"/>
          <w:szCs w:val="24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lang w:eastAsia="es-EC"/>
        </w:rPr>
        <w:t xml:space="preserve">El requisito de demostrar el ingreso neto de divisas (IND), incluido en la Ley Orgánica para el Fomento Productivo será exigible para las exportaciones a partir de la vigencia de esta ley, esto es agosto 21 de 2018. </w:t>
      </w:r>
    </w:p>
    <w:p w:rsidR="00440DDE" w:rsidRPr="00440DDE" w:rsidRDefault="00440DDE" w:rsidP="00440DDE">
      <w:pPr>
        <w:spacing w:after="0" w:line="240" w:lineRule="auto"/>
        <w:ind w:left="720"/>
        <w:rPr>
          <w:rFonts w:ascii="&amp;quot" w:eastAsia="Times New Roman" w:hAnsi="&amp;quot" w:cs="Times New Roman"/>
          <w:color w:val="222222"/>
          <w:sz w:val="24"/>
          <w:szCs w:val="24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lang w:eastAsia="es-EC"/>
        </w:rPr>
        <w:lastRenderedPageBreak/>
        <w:t> </w:t>
      </w:r>
    </w:p>
    <w:p w:rsidR="00440DDE" w:rsidRPr="00440DDE" w:rsidRDefault="00440DDE" w:rsidP="00440DDE">
      <w:pPr>
        <w:numPr>
          <w:ilvl w:val="0"/>
          <w:numId w:val="8"/>
        </w:numPr>
        <w:spacing w:after="0" w:line="240" w:lineRule="auto"/>
        <w:jc w:val="both"/>
        <w:rPr>
          <w:rFonts w:ascii="&amp;quot" w:eastAsia="Times New Roman" w:hAnsi="&amp;quot" w:cs="Times New Roman"/>
          <w:color w:val="222222"/>
          <w:sz w:val="24"/>
          <w:szCs w:val="24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lang w:eastAsia="es-EC"/>
        </w:rPr>
        <w:t xml:space="preserve">La devolución del ISD a exportadores habituales se acogerá al procedimiento de devolución por coeficientes que para el efecto establezca el SRI. Esta devolución podrá ser mensual respecto a los pagos del ISD que se ajusten a lo previsto en la presente Resolución. </w:t>
      </w:r>
    </w:p>
    <w:p w:rsidR="00440DDE" w:rsidRPr="00440DDE" w:rsidRDefault="00440DDE" w:rsidP="00440DDE">
      <w:pPr>
        <w:spacing w:after="0" w:line="240" w:lineRule="auto"/>
        <w:ind w:left="720"/>
        <w:rPr>
          <w:rFonts w:ascii="&amp;quot" w:eastAsia="Times New Roman" w:hAnsi="&amp;quot" w:cs="Times New Roman"/>
          <w:color w:val="222222"/>
          <w:sz w:val="24"/>
          <w:szCs w:val="24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lang w:eastAsia="es-EC"/>
        </w:rPr>
        <w:t> </w:t>
      </w:r>
    </w:p>
    <w:p w:rsidR="00440DDE" w:rsidRPr="00440DDE" w:rsidRDefault="00440DDE" w:rsidP="00440DDE">
      <w:pPr>
        <w:numPr>
          <w:ilvl w:val="0"/>
          <w:numId w:val="9"/>
        </w:numPr>
        <w:spacing w:after="0" w:line="240" w:lineRule="auto"/>
        <w:jc w:val="both"/>
        <w:rPr>
          <w:rFonts w:ascii="&amp;quot" w:eastAsia="Times New Roman" w:hAnsi="&amp;quot" w:cs="Times New Roman"/>
          <w:color w:val="222222"/>
          <w:sz w:val="24"/>
          <w:szCs w:val="24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lang w:eastAsia="es-EC"/>
        </w:rPr>
        <w:t>La presente Resolución entró en vigencia a partir de su suscripción, sin perjuicio de su publicación en el Registro Oficial.</w:t>
      </w:r>
    </w:p>
    <w:p w:rsidR="00440DDE" w:rsidRPr="00440DDE" w:rsidRDefault="00440DDE" w:rsidP="00440DDE">
      <w:pPr>
        <w:spacing w:after="0" w:line="240" w:lineRule="auto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440DDE">
        <w:rPr>
          <w:rFonts w:ascii="&amp;quot" w:eastAsia="Times New Roman" w:hAnsi="&amp;quot" w:cs="Times New Roman"/>
          <w:color w:val="000000"/>
          <w:sz w:val="20"/>
          <w:szCs w:val="20"/>
          <w:lang w:eastAsia="es-EC"/>
        </w:rPr>
        <w:t> </w:t>
      </w:r>
    </w:p>
    <w:p w:rsidR="00715CA4" w:rsidRDefault="00715CA4"/>
    <w:sectPr w:rsidR="00715CA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Roboto">
    <w:panose1 w:val="00000000000000000000"/>
    <w:charset w:val="00"/>
    <w:family w:val="auto"/>
    <w:pitch w:val="variable"/>
    <w:sig w:usb0="E0000AFF" w:usb1="5000217F" w:usb2="00000021" w:usb3="00000000" w:csb0="0000019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7B6F5F"/>
    <w:multiLevelType w:val="multilevel"/>
    <w:tmpl w:val="C3CAC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0B3610D"/>
    <w:multiLevelType w:val="multilevel"/>
    <w:tmpl w:val="0D92F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B0C289A"/>
    <w:multiLevelType w:val="multilevel"/>
    <w:tmpl w:val="91E44AC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7B0950"/>
    <w:multiLevelType w:val="multilevel"/>
    <w:tmpl w:val="D49E2A9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9A10E9"/>
    <w:multiLevelType w:val="multilevel"/>
    <w:tmpl w:val="EA682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9B90F8B"/>
    <w:multiLevelType w:val="multilevel"/>
    <w:tmpl w:val="F2F4279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0141B2"/>
    <w:multiLevelType w:val="multilevel"/>
    <w:tmpl w:val="338C1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FA83229"/>
    <w:multiLevelType w:val="multilevel"/>
    <w:tmpl w:val="2A3A6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A5D1F0D"/>
    <w:multiLevelType w:val="multilevel"/>
    <w:tmpl w:val="DBD65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DDE"/>
    <w:rsid w:val="00440DDE"/>
    <w:rsid w:val="0071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72C935-FB61-454A-A7AB-AFB6A587E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m-8182566397668126009msolistparagraph">
    <w:name w:val="m_-8182566397668126009msolistparagraph"/>
    <w:basedOn w:val="Normal"/>
    <w:rsid w:val="00440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Latitude</dc:creator>
  <cp:keywords/>
  <dc:description/>
  <cp:lastModifiedBy>Dell Latitude</cp:lastModifiedBy>
  <cp:revision>1</cp:revision>
  <dcterms:created xsi:type="dcterms:W3CDTF">2019-04-29T12:32:00Z</dcterms:created>
  <dcterms:modified xsi:type="dcterms:W3CDTF">2019-04-29T12:33:00Z</dcterms:modified>
</cp:coreProperties>
</file>